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69AA" w14:textId="77777777" w:rsidR="00AB592A" w:rsidRPr="00AB592A" w:rsidRDefault="00AB592A" w:rsidP="00AB59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80808"/>
          <w:sz w:val="28"/>
          <w:szCs w:val="28"/>
        </w:rPr>
      </w:pPr>
      <w:bookmarkStart w:id="0" w:name="_GoBack"/>
      <w:bookmarkEnd w:id="0"/>
      <w:r w:rsidRPr="00AB592A">
        <w:rPr>
          <w:rFonts w:ascii="Calibri" w:hAnsi="Calibri" w:cs="Calibri"/>
          <w:b/>
          <w:color w:val="080808"/>
          <w:sz w:val="28"/>
          <w:szCs w:val="28"/>
        </w:rPr>
        <w:t>Název projektu dle MS2014+:1 Vzdělání-budoucnost</w:t>
      </w:r>
    </w:p>
    <w:p w14:paraId="1F67724E" w14:textId="77777777" w:rsidR="00E87AF5" w:rsidRDefault="00AB592A" w:rsidP="00AB592A">
      <w:pPr>
        <w:rPr>
          <w:rFonts w:ascii="Calibri" w:hAnsi="Calibri" w:cs="Calibri"/>
          <w:b/>
          <w:color w:val="080808"/>
          <w:sz w:val="28"/>
          <w:szCs w:val="28"/>
        </w:rPr>
      </w:pPr>
      <w:r w:rsidRPr="00AB592A">
        <w:rPr>
          <w:rFonts w:ascii="Calibri" w:hAnsi="Calibri" w:cs="Calibri"/>
          <w:b/>
          <w:color w:val="080808"/>
          <w:sz w:val="28"/>
          <w:szCs w:val="28"/>
        </w:rPr>
        <w:t>Registrační číslo projektu dle MS</w:t>
      </w:r>
      <w:r>
        <w:rPr>
          <w:rFonts w:ascii="Calibri" w:hAnsi="Calibri" w:cs="Calibri"/>
          <w:b/>
          <w:color w:val="080808"/>
          <w:sz w:val="28"/>
          <w:szCs w:val="28"/>
        </w:rPr>
        <w:t xml:space="preserve"> </w:t>
      </w:r>
      <w:r w:rsidRPr="00AB592A">
        <w:rPr>
          <w:rFonts w:ascii="Calibri" w:hAnsi="Calibri" w:cs="Calibri"/>
          <w:b/>
          <w:color w:val="080808"/>
          <w:sz w:val="28"/>
          <w:szCs w:val="28"/>
        </w:rPr>
        <w:t xml:space="preserve">2014+: </w:t>
      </w:r>
      <w:proofErr w:type="gramStart"/>
      <w:r w:rsidRPr="00AB592A">
        <w:rPr>
          <w:rFonts w:ascii="Calibri" w:hAnsi="Calibri" w:cs="Calibri"/>
          <w:b/>
          <w:color w:val="080808"/>
          <w:sz w:val="28"/>
          <w:szCs w:val="28"/>
        </w:rPr>
        <w:t>CZ.02.3</w:t>
      </w:r>
      <w:proofErr w:type="gramEnd"/>
      <w:r w:rsidRPr="00AB592A">
        <w:rPr>
          <w:rFonts w:ascii="Calibri" w:hAnsi="Calibri" w:cs="Calibri"/>
          <w:b/>
          <w:color w:val="080808"/>
          <w:sz w:val="28"/>
          <w:szCs w:val="28"/>
        </w:rPr>
        <w:t>.X/0.0/0.0/18_063/0010604</w:t>
      </w:r>
    </w:p>
    <w:p w14:paraId="5E98E21E" w14:textId="77777777" w:rsidR="00AB592A" w:rsidRDefault="00AB592A" w:rsidP="00AB592A">
      <w:pPr>
        <w:rPr>
          <w:rFonts w:ascii="Calibri" w:hAnsi="Calibri" w:cs="Calibri"/>
          <w:b/>
          <w:color w:val="080808"/>
          <w:sz w:val="28"/>
          <w:szCs w:val="28"/>
        </w:rPr>
      </w:pPr>
    </w:p>
    <w:p w14:paraId="2A277330" w14:textId="77777777" w:rsidR="00AB592A" w:rsidRDefault="00AB592A" w:rsidP="00AB59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Harmonogram realizace projektu</w:t>
      </w:r>
    </w:p>
    <w:p w14:paraId="467ACD8E" w14:textId="77777777" w:rsidR="00F819AB" w:rsidRDefault="00F819AB" w:rsidP="00AB59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02CA79C" w14:textId="77777777" w:rsidR="00AB592A" w:rsidRDefault="00AB592A" w:rsidP="00AB59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Datum zahájení fyzické realizace projektu 01. 03. 2019</w:t>
      </w:r>
    </w:p>
    <w:p w14:paraId="7C270281" w14:textId="77777777" w:rsidR="00AB592A" w:rsidRDefault="00AB592A" w:rsidP="00AB59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Datum ukončení fyzické realizace projektu 28. 02. 2021</w:t>
      </w:r>
    </w:p>
    <w:p w14:paraId="7F98125C" w14:textId="77777777" w:rsidR="00AB592A" w:rsidRDefault="00AB592A" w:rsidP="00AB592A">
      <w:pPr>
        <w:rPr>
          <w:rFonts w:ascii="Calibri" w:hAnsi="Calibri" w:cs="Calibri"/>
        </w:rPr>
      </w:pPr>
      <w:r>
        <w:rPr>
          <w:rFonts w:ascii="Calibri" w:hAnsi="Calibri" w:cs="Calibri"/>
        </w:rPr>
        <w:t>Doba trvání projektu 24 měsíců</w:t>
      </w:r>
    </w:p>
    <w:p w14:paraId="08054B3C" w14:textId="77777777" w:rsidR="00AB592A" w:rsidRDefault="006E1D8B" w:rsidP="00AB592A">
      <w:pPr>
        <w:rPr>
          <w:rFonts w:ascii="Calibri" w:hAnsi="Calibri" w:cs="Calibri"/>
        </w:rPr>
      </w:pPr>
      <w:r>
        <w:rPr>
          <w:b/>
          <w:sz w:val="28"/>
          <w:szCs w:val="28"/>
        </w:rPr>
        <w:t>Rozvrh realizace v MŠ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394"/>
        <w:gridCol w:w="992"/>
      </w:tblGrid>
      <w:tr w:rsidR="00AB592A" w:rsidRPr="00AB592A" w14:paraId="32410B33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4E24015B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MŠ – DVPP v rozsahu 8 hodin - všechny varianty, kromě e) Inkluze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5654E19D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Absolvent vzdělávacího programu DVPP v časové dotaci minimálně 8 hodin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16030E9" w14:textId="77777777" w:rsidR="00AB592A" w:rsidRPr="00AB592A" w:rsidRDefault="00F819AB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19</w:t>
            </w:r>
          </w:p>
        </w:tc>
      </w:tr>
      <w:tr w:rsidR="00AB592A" w:rsidRPr="00AB592A" w14:paraId="0CFE7F9E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045771FB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MŠ – DVPP v rozsahu 8 hodin - varianta e) Inkluze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29BC647B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Absolvent vzdělávacího programu DVPP v časové dotaci minimálně 8 hodin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B67824C" w14:textId="77777777" w:rsidR="00AB592A" w:rsidRPr="00AB592A" w:rsidRDefault="00AB592A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8</w:t>
            </w:r>
          </w:p>
        </w:tc>
      </w:tr>
      <w:tr w:rsidR="00AB592A" w:rsidRPr="00AB592A" w14:paraId="607ECBCE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1A729A5B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Sdílení zkušeností pedagogů z různých škol/ školských zařízení prostřednictvím vzájemných návštěv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39985340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Dva absolventi uceleného bloku vzájemného vzdělávání, každý v délce šestnáct hodin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3BE8EF3" w14:textId="77777777" w:rsidR="00AB592A" w:rsidRPr="00AB592A" w:rsidRDefault="00F819AB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</w:tr>
      <w:tr w:rsidR="00AB592A" w:rsidRPr="00AB592A" w14:paraId="226B8375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7B5D7B45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Využití ICT ve vzdělávání a) 64 hodin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4C4EF350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Realizovaná výuka s ICT 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BD9179C" w14:textId="77777777" w:rsidR="00AB592A" w:rsidRPr="00AB592A" w:rsidRDefault="00AB592A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</w:tr>
      <w:tr w:rsidR="00AB592A" w:rsidRPr="00AB592A" w14:paraId="7FC653B7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119ED36F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ve škole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1521F815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Realizovaný projektový den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336FE4B" w14:textId="77777777" w:rsidR="00AB592A" w:rsidRPr="00AB592A" w:rsidRDefault="00F819AB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9</w:t>
            </w:r>
          </w:p>
        </w:tc>
      </w:tr>
      <w:tr w:rsidR="00AB592A" w:rsidRPr="00AB592A" w14:paraId="303A484C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768696D4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mimo školu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24552CE4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Realizovaný projektový den mimo školu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2A7F3A0" w14:textId="77777777" w:rsidR="00AB592A" w:rsidRPr="00AB592A" w:rsidRDefault="00F819AB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24</w:t>
            </w:r>
          </w:p>
        </w:tc>
      </w:tr>
      <w:tr w:rsidR="00AB592A" w:rsidRPr="00AB592A" w14:paraId="0D1AAD99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  <w:hideMark/>
          </w:tcPr>
          <w:p w14:paraId="46F45929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Komunitně osvětová setkávání</w:t>
            </w:r>
          </w:p>
        </w:tc>
        <w:tc>
          <w:tcPr>
            <w:tcW w:w="4394" w:type="dxa"/>
            <w:shd w:val="clear" w:color="auto" w:fill="F2F2F2" w:themeFill="background1" w:themeFillShade="F2"/>
            <w:hideMark/>
          </w:tcPr>
          <w:p w14:paraId="270D53A9" w14:textId="77777777" w:rsidR="00AB592A" w:rsidRPr="00AB592A" w:rsidRDefault="00AB592A" w:rsidP="00AB59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B592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Realizované dvouhodinové setkání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54F4519" w14:textId="77777777" w:rsidR="00AB592A" w:rsidRPr="00AB592A" w:rsidRDefault="00F819AB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</w:p>
        </w:tc>
      </w:tr>
      <w:tr w:rsidR="006E1D8B" w:rsidRPr="00AB592A" w14:paraId="25C03574" w14:textId="77777777" w:rsidTr="009601A0">
        <w:trPr>
          <w:trHeight w:val="600"/>
        </w:trPr>
        <w:tc>
          <w:tcPr>
            <w:tcW w:w="4253" w:type="dxa"/>
            <w:shd w:val="clear" w:color="auto" w:fill="F2F2F2" w:themeFill="background1" w:themeFillShade="F2"/>
          </w:tcPr>
          <w:p w14:paraId="53826E12" w14:textId="77777777" w:rsidR="006E1D8B" w:rsidRPr="006E1D8B" w:rsidRDefault="006E1D8B" w:rsidP="00AB592A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 w:rsidRPr="006E1D8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  <w:t>Celkem finanční prostředky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DC577D0" w14:textId="77777777" w:rsidR="006E1D8B" w:rsidRPr="006E1D8B" w:rsidRDefault="006E1D8B" w:rsidP="00AB592A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 w:rsidRPr="006E1D8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  <w:t>578624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B924726" w14:textId="77777777" w:rsidR="006E1D8B" w:rsidRDefault="006E1D8B" w:rsidP="00AB59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</w:tr>
    </w:tbl>
    <w:p w14:paraId="59CF62E7" w14:textId="77777777" w:rsidR="00AB592A" w:rsidRDefault="00AB592A" w:rsidP="00AB592A">
      <w:pPr>
        <w:rPr>
          <w:sz w:val="28"/>
          <w:szCs w:val="28"/>
        </w:rPr>
      </w:pPr>
    </w:p>
    <w:p w14:paraId="041227DD" w14:textId="77777777" w:rsidR="00F819AB" w:rsidRDefault="00F819AB" w:rsidP="00AB592A">
      <w:pPr>
        <w:rPr>
          <w:sz w:val="28"/>
          <w:szCs w:val="28"/>
        </w:rPr>
      </w:pPr>
      <w:r>
        <w:rPr>
          <w:sz w:val="28"/>
          <w:szCs w:val="28"/>
        </w:rPr>
        <w:t>Realizace DVPP se bude zaměřovat na oblast ICT</w:t>
      </w:r>
      <w:r w:rsidR="00DA3D88">
        <w:rPr>
          <w:sz w:val="28"/>
          <w:szCs w:val="28"/>
        </w:rPr>
        <w:t>8)</w:t>
      </w:r>
      <w:r>
        <w:rPr>
          <w:sz w:val="28"/>
          <w:szCs w:val="28"/>
        </w:rPr>
        <w:t>, polytechniky</w:t>
      </w:r>
      <w:r w:rsidR="00DA3D88">
        <w:rPr>
          <w:sz w:val="28"/>
          <w:szCs w:val="28"/>
        </w:rPr>
        <w:t xml:space="preserve"> (8),</w:t>
      </w:r>
      <w:r>
        <w:rPr>
          <w:sz w:val="28"/>
          <w:szCs w:val="28"/>
        </w:rPr>
        <w:t xml:space="preserve"> matematické </w:t>
      </w:r>
      <w:proofErr w:type="spellStart"/>
      <w:r>
        <w:rPr>
          <w:sz w:val="28"/>
          <w:szCs w:val="28"/>
        </w:rPr>
        <w:t>pregramotnosti</w:t>
      </w:r>
      <w:proofErr w:type="spellEnd"/>
      <w:r w:rsidR="00DA3D88">
        <w:rPr>
          <w:sz w:val="28"/>
          <w:szCs w:val="28"/>
        </w:rPr>
        <w:t xml:space="preserve"> (3) a inkluze (8).</w:t>
      </w:r>
    </w:p>
    <w:p w14:paraId="47900AFF" w14:textId="77777777" w:rsidR="00DA3D88" w:rsidRDefault="00DA3D88" w:rsidP="00AB592A">
      <w:pPr>
        <w:rPr>
          <w:sz w:val="28"/>
          <w:szCs w:val="28"/>
        </w:rPr>
      </w:pPr>
      <w:r>
        <w:rPr>
          <w:sz w:val="28"/>
          <w:szCs w:val="28"/>
        </w:rPr>
        <w:t xml:space="preserve">Sílení zkušeností </w:t>
      </w:r>
      <w:proofErr w:type="gramStart"/>
      <w:r>
        <w:rPr>
          <w:sz w:val="28"/>
          <w:szCs w:val="28"/>
        </w:rPr>
        <w:t>proběhlo</w:t>
      </w:r>
      <w:proofErr w:type="gramEnd"/>
      <w:r>
        <w:rPr>
          <w:sz w:val="28"/>
          <w:szCs w:val="28"/>
        </w:rPr>
        <w:t xml:space="preserve"> z jiných škol by </w:t>
      </w:r>
      <w:proofErr w:type="gramStart"/>
      <w:r>
        <w:rPr>
          <w:sz w:val="28"/>
          <w:szCs w:val="28"/>
        </w:rPr>
        <w:t>mělo</w:t>
      </w:r>
      <w:proofErr w:type="gramEnd"/>
      <w:r>
        <w:rPr>
          <w:sz w:val="28"/>
          <w:szCs w:val="28"/>
        </w:rPr>
        <w:t xml:space="preserve"> přinést nové náměty. Využívání ICT ve vzdělávání bude realizováno v obou MŠ, v každé 1 dělená hodina týdně. Pro realizaci této šablony byla každá MŠ vybavena 10 tablety na platformě Android. Z vlastních prostředků byly v této oblasti pedagogové proškoleni již před započetím projektu.</w:t>
      </w:r>
    </w:p>
    <w:p w14:paraId="7C02BDF0" w14:textId="77777777" w:rsidR="00DA3D88" w:rsidRDefault="00DA3D88" w:rsidP="00AB59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 děti by největším přínosem měla být realizace projektových dnů. Část bude realizována buď přímo v mateřských </w:t>
      </w:r>
      <w:proofErr w:type="gramStart"/>
      <w:r>
        <w:rPr>
          <w:sz w:val="28"/>
          <w:szCs w:val="28"/>
        </w:rPr>
        <w:t>školách nebo</w:t>
      </w:r>
      <w:proofErr w:type="gramEnd"/>
      <w:r>
        <w:rPr>
          <w:sz w:val="28"/>
          <w:szCs w:val="28"/>
        </w:rPr>
        <w:t xml:space="preserve"> blízkém okolí, pro projekty mimo školu budou učitelky volit</w:t>
      </w:r>
      <w:r w:rsidR="006E1D8B">
        <w:rPr>
          <w:sz w:val="28"/>
          <w:szCs w:val="28"/>
        </w:rPr>
        <w:t xml:space="preserve"> taková témata, aby se dětem přiblížily oblasti, o kterých dnes děti vědí méně a se kterými v běžném životě </w:t>
      </w:r>
      <w:proofErr w:type="spellStart"/>
      <w:r w:rsidR="006E1D8B">
        <w:rPr>
          <w:sz w:val="28"/>
          <w:szCs w:val="28"/>
        </w:rPr>
        <w:t>něpřicházejí</w:t>
      </w:r>
      <w:proofErr w:type="spellEnd"/>
      <w:r w:rsidR="006E1D8B">
        <w:rPr>
          <w:sz w:val="28"/>
          <w:szCs w:val="28"/>
        </w:rPr>
        <w:t xml:space="preserve"> příliš do styku (pěstování domácích zvířat, historie, průmysl, výroba, ochrana přírody, činnost různých organizací - hasiči, policie, lesní hospodářství apod.)</w:t>
      </w:r>
    </w:p>
    <w:p w14:paraId="103D9035" w14:textId="77777777" w:rsidR="009601A0" w:rsidRDefault="009601A0" w:rsidP="00AB592A">
      <w:pPr>
        <w:rPr>
          <w:sz w:val="28"/>
          <w:szCs w:val="28"/>
        </w:rPr>
      </w:pPr>
    </w:p>
    <w:p w14:paraId="24D20A03" w14:textId="77777777" w:rsidR="009601A0" w:rsidRDefault="006E1D8B" w:rsidP="00AB592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Rozvrh realizace v ZŠ</w:t>
      </w:r>
    </w:p>
    <w:p w14:paraId="28D6D6E1" w14:textId="77777777" w:rsidR="006E1D8B" w:rsidRPr="006E1D8B" w:rsidRDefault="006E1D8B" w:rsidP="00AB592A">
      <w:pPr>
        <w:rPr>
          <w:sz w:val="28"/>
          <w:szCs w:val="28"/>
        </w:rPr>
      </w:pPr>
      <w:r w:rsidRPr="006E1D8B">
        <w:rPr>
          <w:sz w:val="28"/>
          <w:szCs w:val="28"/>
        </w:rPr>
        <w:t>DVPP</w:t>
      </w:r>
      <w:r>
        <w:rPr>
          <w:sz w:val="28"/>
          <w:szCs w:val="28"/>
        </w:rPr>
        <w:t xml:space="preserve"> se bude realizovat v oblastech projektového vyučování, ICT, cizím jazyce, osobnostním rozvoji pracovníků a inkluzi. Z minulého projektu se osvědčila realizace klubu pro žáky (klub logických her a čtenářské dílny) a proto v nich budeme pokračovat. Od realizací projektových dnů očekáváme zatraktivnění výuky pro žáky. Projektové dny ve škole jsme zvyklí </w:t>
      </w:r>
      <w:r w:rsidR="00175F48">
        <w:rPr>
          <w:sz w:val="28"/>
          <w:szCs w:val="28"/>
        </w:rPr>
        <w:t xml:space="preserve">využívat a výhodou realizace ze Šablon bude snadnější pořízení případných pomůcek nebo potřeb a pomoc a spolupráce odborníka z praxe. Projekty mimo školu budou směřovány do takových oblastí, aby vhodně doplnily témata výuky nebo realizaci průřezových témat. </w:t>
      </w:r>
      <w:proofErr w:type="spellStart"/>
      <w:r w:rsidR="00175F48">
        <w:rPr>
          <w:sz w:val="28"/>
          <w:szCs w:val="28"/>
        </w:rPr>
        <w:t>Obdorně</w:t>
      </w:r>
      <w:proofErr w:type="spellEnd"/>
      <w:r w:rsidR="00175F48">
        <w:rPr>
          <w:sz w:val="28"/>
          <w:szCs w:val="28"/>
        </w:rPr>
        <w:t xml:space="preserve"> zaměřená tematická setkání pro rodiče budeme směřovat opět do oblasti problémům ve výchově. Na 3 z těchto setkání již máme zajištěnou účast Mgr. Jiřího Haldy, který umí rodiče zaujmout a vysvětlit srozumitelnou formou vývojové zvláštnosti a problémy ve výchově. Navíc jeho semináře budou moci využít nejen rodiče ZŠ, ale také rodiče z našich MŠ.</w:t>
      </w:r>
    </w:p>
    <w:tbl>
      <w:tblPr>
        <w:tblW w:w="99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4696"/>
        <w:gridCol w:w="974"/>
      </w:tblGrid>
      <w:tr w:rsidR="009601A0" w:rsidRPr="009601A0" w14:paraId="4701138E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54FE3BA5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ZŠ – DVPP v rozsahu 8 hodin - všechny varianty, kromě e) Inkluze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384314D7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Absolvent vzdělávacího programu DVPP v časové dotaci minimálně 8 hodin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0083452A" w14:textId="77777777" w:rsidR="009601A0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20</w:t>
            </w:r>
          </w:p>
        </w:tc>
      </w:tr>
      <w:tr w:rsidR="009601A0" w:rsidRPr="009601A0" w14:paraId="3526FC46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0F580A61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ZŠ – DVPP v rozsahu 8 hodin - varianta e) Inkluze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3F92D75F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Absolvent vzdělávacího programu DVPP v časové dotaci minimálně 8 hodin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7F5D30D3" w14:textId="77777777" w:rsidR="009601A0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3</w:t>
            </w:r>
          </w:p>
        </w:tc>
      </w:tr>
      <w:tr w:rsidR="009601A0" w:rsidRPr="009601A0" w14:paraId="248D3942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33A8D961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Sdílení zkušeností pedagogů z různých škol/školských zařízení prostřednictvím vzájemných návštěv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6FA830CF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Dva absolventi dvou ucelených bloků vzájemného vzdělávání v celkové délce šestnáct hodin vzdělávání každého pedagoga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2265557C" w14:textId="77777777" w:rsidR="009601A0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</w:tr>
      <w:tr w:rsidR="009601A0" w:rsidRPr="009601A0" w14:paraId="36F8CA96" w14:textId="77777777" w:rsidTr="00F819AB">
        <w:trPr>
          <w:trHeight w:val="9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58DA7031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Tandemová výuka v ZŠ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4F0EF220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Dva absolventi deseti ucelených bloků vzájemné spolupráce pedagogů v celkové délce dvacet hodin vzdělávání každého pedagoga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0B6B85CD" w14:textId="77777777" w:rsidR="009601A0" w:rsidRPr="009601A0" w:rsidRDefault="009601A0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</w:tr>
      <w:tr w:rsidR="009601A0" w:rsidRPr="009601A0" w14:paraId="2BA57EB5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hideMark/>
          </w:tcPr>
          <w:p w14:paraId="0180B06A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Využití ICT ve vzdělávání a) 64 hodin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40FC96C5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Realizovaná výuka s ICT 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3530C940" w14:textId="77777777" w:rsidR="009601A0" w:rsidRPr="009601A0" w:rsidRDefault="009601A0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</w:tr>
      <w:tr w:rsidR="009601A0" w:rsidRPr="009601A0" w14:paraId="458DB7E9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06FAB329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Klub pro žáky ZŠ 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5AB7D15B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Ucelený proces zřízení, vybavení a realizace klubu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58E7895E" w14:textId="77777777" w:rsidR="009601A0" w:rsidRPr="009601A0" w:rsidRDefault="009601A0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</w:p>
        </w:tc>
      </w:tr>
      <w:tr w:rsidR="009601A0" w:rsidRPr="009601A0" w14:paraId="4577ABA4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68D53A89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ve škole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57339241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Realizovaný projektový den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707EA472" w14:textId="77777777" w:rsidR="009601A0" w:rsidRPr="009601A0" w:rsidRDefault="00DA3D88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8</w:t>
            </w:r>
          </w:p>
        </w:tc>
      </w:tr>
      <w:tr w:rsidR="009601A0" w:rsidRPr="009601A0" w14:paraId="0893B223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1B0080BB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mimo školu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7D574AB7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Realizovaný projektový den mimo školu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18DA44F2" w14:textId="77777777" w:rsidR="009601A0" w:rsidRPr="009601A0" w:rsidRDefault="00DA3D88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24</w:t>
            </w:r>
          </w:p>
        </w:tc>
      </w:tr>
      <w:tr w:rsidR="009601A0" w:rsidRPr="009601A0" w14:paraId="5DE42E8C" w14:textId="77777777" w:rsidTr="00F819AB">
        <w:trPr>
          <w:trHeight w:val="600"/>
        </w:trPr>
        <w:tc>
          <w:tcPr>
            <w:tcW w:w="4243" w:type="dxa"/>
            <w:shd w:val="clear" w:color="auto" w:fill="FBE4D5" w:themeFill="accent2" w:themeFillTint="33"/>
            <w:vAlign w:val="center"/>
            <w:hideMark/>
          </w:tcPr>
          <w:p w14:paraId="2525A15D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Odborně zaměřená tematická setkávání a spolupráce s rodiči žáků ZŠ</w:t>
            </w:r>
          </w:p>
        </w:tc>
        <w:tc>
          <w:tcPr>
            <w:tcW w:w="4696" w:type="dxa"/>
            <w:shd w:val="clear" w:color="auto" w:fill="FBE4D5" w:themeFill="accent2" w:themeFillTint="33"/>
            <w:vAlign w:val="center"/>
            <w:hideMark/>
          </w:tcPr>
          <w:p w14:paraId="2FAC2C8D" w14:textId="77777777" w:rsidR="009601A0" w:rsidRPr="009601A0" w:rsidRDefault="009601A0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Realizovaná dvouhodinová setkání v celkovém rozsahu 12 h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  <w:hideMark/>
          </w:tcPr>
          <w:p w14:paraId="7B35E6CD" w14:textId="77777777" w:rsidR="009601A0" w:rsidRPr="009601A0" w:rsidRDefault="009601A0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</w:tr>
      <w:tr w:rsidR="006E1D8B" w:rsidRPr="009601A0" w14:paraId="313F0866" w14:textId="77777777" w:rsidTr="00C72C64">
        <w:trPr>
          <w:trHeight w:val="600"/>
        </w:trPr>
        <w:tc>
          <w:tcPr>
            <w:tcW w:w="4243" w:type="dxa"/>
            <w:shd w:val="clear" w:color="auto" w:fill="FBE4D5" w:themeFill="accent2" w:themeFillTint="33"/>
          </w:tcPr>
          <w:p w14:paraId="15DA963E" w14:textId="77777777" w:rsidR="006E1D8B" w:rsidRPr="006E1D8B" w:rsidRDefault="006E1D8B" w:rsidP="006E1D8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 w:rsidRPr="006E1D8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  <w:t>Celkem finanční prostředky</w:t>
            </w:r>
          </w:p>
        </w:tc>
        <w:tc>
          <w:tcPr>
            <w:tcW w:w="4696" w:type="dxa"/>
            <w:shd w:val="clear" w:color="auto" w:fill="FBE4D5" w:themeFill="accent2" w:themeFillTint="33"/>
          </w:tcPr>
          <w:p w14:paraId="7DC272C8" w14:textId="77777777" w:rsidR="006E1D8B" w:rsidRPr="006E1D8B" w:rsidRDefault="006E1D8B" w:rsidP="006E1D8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 w:rsidRPr="006E1D8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  <w:t>638508</w:t>
            </w:r>
          </w:p>
        </w:tc>
        <w:tc>
          <w:tcPr>
            <w:tcW w:w="974" w:type="dxa"/>
            <w:shd w:val="clear" w:color="auto" w:fill="FBE4D5" w:themeFill="accent2" w:themeFillTint="33"/>
            <w:noWrap/>
            <w:vAlign w:val="center"/>
          </w:tcPr>
          <w:p w14:paraId="27BA4D95" w14:textId="77777777" w:rsidR="006E1D8B" w:rsidRPr="009601A0" w:rsidRDefault="006E1D8B" w:rsidP="006E1D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</w:tr>
    </w:tbl>
    <w:p w14:paraId="5A31FE87" w14:textId="77777777" w:rsidR="006E1D8B" w:rsidRDefault="006E1D8B" w:rsidP="00AB592A">
      <w:pPr>
        <w:rPr>
          <w:sz w:val="28"/>
          <w:szCs w:val="28"/>
        </w:rPr>
      </w:pPr>
    </w:p>
    <w:p w14:paraId="4AFE7A34" w14:textId="77777777" w:rsidR="009601A0" w:rsidRDefault="006E1D8B" w:rsidP="00AB5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Rozvrh realizace ve </w:t>
      </w:r>
      <w:r w:rsidR="00F819AB" w:rsidRPr="006E1D8B">
        <w:rPr>
          <w:b/>
          <w:sz w:val="28"/>
          <w:szCs w:val="28"/>
        </w:rPr>
        <w:t>ŠD</w:t>
      </w:r>
    </w:p>
    <w:p w14:paraId="1FA2EBB8" w14:textId="77777777" w:rsidR="00175F48" w:rsidRPr="00175F48" w:rsidRDefault="00175F48" w:rsidP="00AB592A">
      <w:pPr>
        <w:rPr>
          <w:sz w:val="28"/>
          <w:szCs w:val="28"/>
        </w:rPr>
      </w:pPr>
      <w:r>
        <w:rPr>
          <w:sz w:val="28"/>
          <w:szCs w:val="28"/>
        </w:rPr>
        <w:t>DVPP je zaměřeno na oblast projektové výuky, polytechniky, rozvoj v ICT a inkluzi.</w:t>
      </w:r>
      <w:r w:rsidR="00861CF6">
        <w:rPr>
          <w:sz w:val="28"/>
          <w:szCs w:val="28"/>
        </w:rPr>
        <w:t xml:space="preserve"> Pro možnost sdílení zkušeností z jiných škol jsme také zvolili 2 šablony a hlavní pozornost bude stejně jako v MŠ a ZŠ zaměřená na projekty. Měla by pro žáky rozšířit možnost pozvat prostředí a oblasti, které pro ně nejsou běžně známé – návštěvy různých provozů, povolání, výrobních kapacit, přírodních zvláštností apod.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678"/>
        <w:gridCol w:w="992"/>
      </w:tblGrid>
      <w:tr w:rsidR="00F819AB" w:rsidRPr="009601A0" w14:paraId="74294F1F" w14:textId="77777777" w:rsidTr="00F819AB">
        <w:trPr>
          <w:trHeight w:val="600"/>
        </w:trPr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4839A89E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ŠD/ŠK – DVPP v rozsahu 8 hodin - všechny varianty, kromě e) Inkluze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  <w:hideMark/>
          </w:tcPr>
          <w:p w14:paraId="670686C5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Absolvent vzdělávacího programu DVPP v časové dotaci minimálně 8 hodin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006D1773" w14:textId="77777777" w:rsidR="00F819AB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10</w:t>
            </w:r>
          </w:p>
        </w:tc>
      </w:tr>
      <w:tr w:rsidR="00F819AB" w:rsidRPr="009601A0" w14:paraId="0705C0AD" w14:textId="77777777" w:rsidTr="00F819AB">
        <w:trPr>
          <w:trHeight w:val="600"/>
        </w:trPr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6FCD48E1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Vzdělávání pedagogických pracovníků ŠD/ŠK - DVPP v rozsahu 8 hodin - varianta e) Inkluze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  <w:hideMark/>
          </w:tcPr>
          <w:p w14:paraId="3171C56B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Absolvent vzdělávacího programu DVPP v časové dotaci minimálně 8 hodin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74AF6013" w14:textId="77777777" w:rsidR="00F819AB" w:rsidRPr="009601A0" w:rsidRDefault="00DA3D88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</w:p>
        </w:tc>
      </w:tr>
      <w:tr w:rsidR="00F819AB" w:rsidRPr="009601A0" w14:paraId="7FCF5A02" w14:textId="77777777" w:rsidTr="00F819AB">
        <w:trPr>
          <w:trHeight w:val="600"/>
        </w:trPr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02BD656C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Vzájemná spolupráce pedagogů ŠD/ŠK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  <w:hideMark/>
          </w:tcPr>
          <w:p w14:paraId="36E89908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Tři absolventi uceleného bloku vzájemné spolupráce pedagogů v celkové délce deset hodin vzdělávání každého pedagoga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1443959D" w14:textId="77777777" w:rsidR="00F819AB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</w:tr>
      <w:tr w:rsidR="00F819AB" w:rsidRPr="009601A0" w14:paraId="384BBA33" w14:textId="77777777" w:rsidTr="00F819AB">
        <w:trPr>
          <w:trHeight w:val="600"/>
        </w:trPr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50BD04D9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Sdílení zkušeností pedagogů z různých škol/školských zařízení prostřednictvím vzájemných návštěv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  <w:hideMark/>
          </w:tcPr>
          <w:p w14:paraId="7E6FD810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Dva absolventi dvou ucelených bloků vzájemného vzdělávání v celkové délce šestnáct hodin vzdělávání každého pedagoga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23C0D8D9" w14:textId="77777777" w:rsidR="00F819AB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</w:tr>
      <w:tr w:rsidR="00F819AB" w:rsidRPr="009601A0" w14:paraId="0E5E14E8" w14:textId="77777777" w:rsidTr="00F819AB">
        <w:trPr>
          <w:trHeight w:val="600"/>
        </w:trPr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4C33074D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v ŠD/ŠK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  <w:hideMark/>
          </w:tcPr>
          <w:p w14:paraId="5CABE778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Realizovaný projektový den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49DBBFE8" w14:textId="77777777" w:rsidR="00F819AB" w:rsidRPr="009601A0" w:rsidRDefault="00F819AB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8</w:t>
            </w:r>
          </w:p>
        </w:tc>
      </w:tr>
      <w:tr w:rsidR="00F819AB" w:rsidRPr="009601A0" w14:paraId="1EC4CB6C" w14:textId="77777777" w:rsidTr="00F819AB">
        <w:trPr>
          <w:trHeight w:val="600"/>
        </w:trPr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4A54B1CB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mimo ŠD/ŠK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  <w:hideMark/>
          </w:tcPr>
          <w:p w14:paraId="2E35845A" w14:textId="77777777" w:rsidR="00F819AB" w:rsidRPr="009601A0" w:rsidRDefault="00F819AB" w:rsidP="009601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601A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Realizovaný projektový den mimo školu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56232EBC" w14:textId="77777777" w:rsidR="00F819AB" w:rsidRPr="009601A0" w:rsidRDefault="00DA3D88" w:rsidP="009601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29</w:t>
            </w:r>
          </w:p>
        </w:tc>
      </w:tr>
      <w:tr w:rsidR="006E1D8B" w:rsidRPr="009601A0" w14:paraId="0CB27B6C" w14:textId="77777777" w:rsidTr="00B23B1D">
        <w:trPr>
          <w:trHeight w:val="600"/>
        </w:trPr>
        <w:tc>
          <w:tcPr>
            <w:tcW w:w="4253" w:type="dxa"/>
            <w:shd w:val="clear" w:color="auto" w:fill="E2EFD9" w:themeFill="accent6" w:themeFillTint="33"/>
          </w:tcPr>
          <w:p w14:paraId="7EBCC200" w14:textId="77777777" w:rsidR="006E1D8B" w:rsidRPr="006E1D8B" w:rsidRDefault="006E1D8B" w:rsidP="006E1D8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 w:rsidRPr="006E1D8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  <w:t>Celkem finanční prostředky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A6B7D0D" w14:textId="77777777" w:rsidR="006E1D8B" w:rsidRPr="006E1D8B" w:rsidRDefault="006E1D8B" w:rsidP="006E1D8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 w:rsidRPr="006E1D8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  <w:t>298325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</w:tcPr>
          <w:p w14:paraId="78A929B8" w14:textId="77777777" w:rsidR="006E1D8B" w:rsidRDefault="006E1D8B" w:rsidP="006E1D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</w:tr>
    </w:tbl>
    <w:p w14:paraId="36359036" w14:textId="77777777" w:rsidR="009601A0" w:rsidRPr="00AB592A" w:rsidRDefault="009601A0" w:rsidP="00AB592A">
      <w:pPr>
        <w:rPr>
          <w:sz w:val="28"/>
          <w:szCs w:val="28"/>
        </w:rPr>
      </w:pPr>
    </w:p>
    <w:sectPr w:rsidR="009601A0" w:rsidRPr="00AB592A" w:rsidSect="00F819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485D" w14:textId="77777777" w:rsidR="00212F68" w:rsidRDefault="00212F68" w:rsidP="00AB592A">
      <w:pPr>
        <w:spacing w:after="0" w:line="240" w:lineRule="auto"/>
      </w:pPr>
      <w:r>
        <w:separator/>
      </w:r>
    </w:p>
  </w:endnote>
  <w:endnote w:type="continuationSeparator" w:id="0">
    <w:p w14:paraId="7812C8F2" w14:textId="77777777" w:rsidR="00212F68" w:rsidRDefault="00212F68" w:rsidP="00AB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4760" w14:textId="77777777" w:rsidR="00212F68" w:rsidRDefault="00212F68" w:rsidP="00AB592A">
      <w:pPr>
        <w:spacing w:after="0" w:line="240" w:lineRule="auto"/>
      </w:pPr>
      <w:r>
        <w:separator/>
      </w:r>
    </w:p>
  </w:footnote>
  <w:footnote w:type="continuationSeparator" w:id="0">
    <w:p w14:paraId="1E1B001A" w14:textId="77777777" w:rsidR="00212F68" w:rsidRDefault="00212F68" w:rsidP="00AB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6FAED" w14:textId="77777777" w:rsidR="00AB592A" w:rsidRPr="00AB592A" w:rsidRDefault="00AB592A" w:rsidP="00AB592A">
    <w:pPr>
      <w:pStyle w:val="Zhlav"/>
    </w:pPr>
    <w:r w:rsidRPr="00AB592A">
      <w:rPr>
        <w:noProof/>
        <w:lang w:eastAsia="cs-CZ"/>
      </w:rPr>
      <w:drawing>
        <wp:inline distT="0" distB="0" distL="0" distR="0" wp14:anchorId="0D3AC33D" wp14:editId="2260A92B">
          <wp:extent cx="5760720" cy="1271724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2A"/>
    <w:rsid w:val="00175F48"/>
    <w:rsid w:val="00212F68"/>
    <w:rsid w:val="00590DF4"/>
    <w:rsid w:val="006E1D8B"/>
    <w:rsid w:val="00861CF6"/>
    <w:rsid w:val="009601A0"/>
    <w:rsid w:val="00A90C15"/>
    <w:rsid w:val="00AB592A"/>
    <w:rsid w:val="00DA3D88"/>
    <w:rsid w:val="00E64FA9"/>
    <w:rsid w:val="00E87AF5"/>
    <w:rsid w:val="00F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CFD6"/>
  <w15:chartTrackingRefBased/>
  <w15:docId w15:val="{92002EC7-D60E-4D52-AC81-300AAB4A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92A"/>
  </w:style>
  <w:style w:type="paragraph" w:styleId="Zpat">
    <w:name w:val="footer"/>
    <w:basedOn w:val="Normln"/>
    <w:link w:val="ZpatChar"/>
    <w:uiPriority w:val="99"/>
    <w:unhideWhenUsed/>
    <w:rsid w:val="00AB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68EE-CF4B-4F40-A481-9BC77417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Magerová</dc:creator>
  <cp:keywords/>
  <dc:description/>
  <cp:lastModifiedBy>Marie Magerová</cp:lastModifiedBy>
  <cp:revision>2</cp:revision>
  <dcterms:created xsi:type="dcterms:W3CDTF">2022-09-26T06:10:00Z</dcterms:created>
  <dcterms:modified xsi:type="dcterms:W3CDTF">2022-09-26T06:10:00Z</dcterms:modified>
</cp:coreProperties>
</file>